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83DE1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bookmarkStart w:id="0" w:name="_GoBack"/>
      <w:bookmarkEnd w:id="0"/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6F983DE2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6F983DE3" w14:textId="72CF5043" w:rsidR="00011556" w:rsidRPr="00707F30" w:rsidRDefault="00011556" w:rsidP="00B54B87">
      <w:pPr>
        <w:jc w:val="both"/>
        <w:rPr>
          <w:rFonts w:eastAsia="Times New Roman" w:cs="Times New Roman"/>
          <w:b/>
          <w:sz w:val="20"/>
          <w:szCs w:val="20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>Te</w:t>
      </w:r>
      <w:r w:rsidR="00C52EE5">
        <w:rPr>
          <w:rFonts w:eastAsia="Times New Roman" w:cs="Times New Roman"/>
          <w:szCs w:val="24"/>
          <w:lang w:eastAsia="lt-LT"/>
        </w:rPr>
        <w:t>isės akto projekto pavadinimas:</w:t>
      </w:r>
      <w:r w:rsidR="003C6AA1">
        <w:rPr>
          <w:rFonts w:eastAsia="Times New Roman" w:cs="Times New Roman"/>
          <w:szCs w:val="24"/>
          <w:lang w:eastAsia="lt-LT"/>
        </w:rPr>
        <w:t xml:space="preserve"> </w:t>
      </w:r>
      <w:r w:rsidR="0009587A">
        <w:rPr>
          <w:rFonts w:eastAsia="Times New Roman" w:cs="Times New Roman"/>
          <w:szCs w:val="24"/>
          <w:lang w:eastAsia="lt-LT"/>
        </w:rPr>
        <w:t xml:space="preserve">TARYBOS SPRENDIMAS </w:t>
      </w:r>
      <w:r w:rsidR="00634BAF">
        <w:rPr>
          <w:b/>
          <w:szCs w:val="24"/>
        </w:rPr>
        <w:t>DĖL VAIKŲ PRIĖMIMO Į ROKIŠKIO RAJONO SAVIVALDYBĖS ŠVIETIMO ĮSTAIGŲ IKIMOKYKLINIO IR PRIEŠMOKYKLINIO UGDYMO GRUPES IR GRUPIŲ KOMPLEKTAVIMO TVARKOS APRAŠO PATVIRTINIMO</w:t>
      </w:r>
      <w:r w:rsidR="0009587A" w:rsidRPr="00707F30">
        <w:rPr>
          <w:rFonts w:eastAsia="Times New Roman" w:cs="Times New Roman"/>
          <w:b/>
          <w:szCs w:val="24"/>
          <w:lang w:eastAsia="lt-LT"/>
        </w:rPr>
        <w:t>.</w:t>
      </w:r>
    </w:p>
    <w:p w14:paraId="6F983DE4" w14:textId="118A8460" w:rsidR="00AE03A3" w:rsidRDefault="00011556" w:rsidP="0069605C">
      <w:pPr>
        <w:ind w:right="-115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634BAF" w:rsidRPr="00AF2809">
        <w:rPr>
          <w:szCs w:val="24"/>
        </w:rPr>
        <w:t>Švietimo ir sporto skyriaus vyriausioji specialistė Audronė Rekertienė</w:t>
      </w:r>
      <w:r w:rsidR="0009587A">
        <w:rPr>
          <w:szCs w:val="24"/>
        </w:rPr>
        <w:t>.</w:t>
      </w:r>
    </w:p>
    <w:p w14:paraId="6F983DE5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6F983DE6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6F983DE7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6F983DE8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6F983DE9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2416"/>
        <w:gridCol w:w="2751"/>
        <w:gridCol w:w="2182"/>
        <w:gridCol w:w="1809"/>
      </w:tblGrid>
      <w:tr w:rsidR="00011556" w:rsidRPr="00011556" w14:paraId="6F983DEF" w14:textId="77777777" w:rsidTr="00C224F1">
        <w:trPr>
          <w:trHeight w:val="23"/>
          <w:tblHeader/>
        </w:trPr>
        <w:tc>
          <w:tcPr>
            <w:tcW w:w="588" w:type="dxa"/>
            <w:vAlign w:val="center"/>
          </w:tcPr>
          <w:p w14:paraId="6F983DE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6F983DE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6F983DEC" w14:textId="77777777" w:rsidR="00011556" w:rsidRPr="00011556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6F983DE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6F983DE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6F983DF5" w14:textId="77777777" w:rsidTr="00C224F1">
        <w:trPr>
          <w:trHeight w:val="23"/>
        </w:trPr>
        <w:tc>
          <w:tcPr>
            <w:tcW w:w="588" w:type="dxa"/>
          </w:tcPr>
          <w:p w14:paraId="6F983DF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6F983DF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6F983DF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6F983DF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6F983DF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011556" w:rsidRPr="00011556" w14:paraId="6F983DFE" w14:textId="77777777" w:rsidTr="00C224F1">
        <w:trPr>
          <w:trHeight w:val="23"/>
        </w:trPr>
        <w:tc>
          <w:tcPr>
            <w:tcW w:w="588" w:type="dxa"/>
          </w:tcPr>
          <w:p w14:paraId="6F983DF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6F983DF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6F983DF8" w14:textId="77777777" w:rsidR="00011556" w:rsidRPr="00B54B87" w:rsidRDefault="00B54B87" w:rsidP="0009587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ru-RU" w:eastAsia="lt-LT"/>
              </w:rPr>
            </w:pPr>
            <w:r>
              <w:rPr>
                <w:sz w:val="22"/>
                <w:lang w:val="ru-RU"/>
              </w:rPr>
              <w:t>Nesudaro</w:t>
            </w:r>
          </w:p>
        </w:tc>
        <w:tc>
          <w:tcPr>
            <w:tcW w:w="2182" w:type="dxa"/>
          </w:tcPr>
          <w:p w14:paraId="6F983DF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6F983DF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6F983DF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F983DF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F983DF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F983E05" w14:textId="77777777" w:rsidTr="00C224F1">
        <w:trPr>
          <w:trHeight w:val="23"/>
        </w:trPr>
        <w:tc>
          <w:tcPr>
            <w:tcW w:w="588" w:type="dxa"/>
          </w:tcPr>
          <w:p w14:paraId="6F983DFF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6F983E00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6F983E01" w14:textId="77777777" w:rsidR="00011556" w:rsidRPr="00011556" w:rsidRDefault="0009587A" w:rsidP="0009587A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6F983E02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F983E03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F983E04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F983E0C" w14:textId="77777777" w:rsidTr="00C224F1">
        <w:trPr>
          <w:trHeight w:val="23"/>
        </w:trPr>
        <w:tc>
          <w:tcPr>
            <w:tcW w:w="588" w:type="dxa"/>
          </w:tcPr>
          <w:p w14:paraId="6F983E0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6F983E0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nustatyta, kad sprendimą dėl teisių suteikimo, apribojimų nustatymo, sankcijų taikymo ir panašiai priimantis subjektas atskirtas nuo šių sprendimų teisėtumą ir įgyvendinimą kontroliuojančio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(prižiūrinčio) subjekto</w:t>
            </w:r>
          </w:p>
        </w:tc>
        <w:tc>
          <w:tcPr>
            <w:tcW w:w="2751" w:type="dxa"/>
          </w:tcPr>
          <w:p w14:paraId="6F983E08" w14:textId="77777777" w:rsidR="00011556" w:rsidRPr="003D574F" w:rsidRDefault="002E39C0" w:rsidP="002E39C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Style w:val="FontStyle21"/>
                <w:color w:val="000000" w:themeColor="text1"/>
                <w:szCs w:val="24"/>
              </w:rPr>
              <w:lastRenderedPageBreak/>
              <w:t>Tvarkos Aprašo 21 p. nustatyta, kad v</w:t>
            </w:r>
            <w:r w:rsidRPr="00873F01">
              <w:rPr>
                <w:rStyle w:val="FontStyle21"/>
                <w:color w:val="000000" w:themeColor="text1"/>
                <w:szCs w:val="24"/>
              </w:rPr>
              <w:t xml:space="preserve">aikų priėmimą naujiems mokslo metams į Rokiškio miesto Įstaigas vykdo </w:t>
            </w:r>
            <w:r w:rsidRPr="00953DCF">
              <w:rPr>
                <w:rStyle w:val="FontStyle21"/>
                <w:color w:val="000000" w:themeColor="text1"/>
                <w:szCs w:val="24"/>
              </w:rPr>
              <w:t xml:space="preserve">Vaikų priėmimo ir grupių komplektavimo </w:t>
            </w:r>
            <w:r w:rsidRPr="00873F01">
              <w:rPr>
                <w:rStyle w:val="FontStyle21"/>
                <w:color w:val="000000" w:themeColor="text1"/>
                <w:szCs w:val="24"/>
              </w:rPr>
              <w:t>komisija, kurios sudėtį tvirtina Savivaldybės administracijos direktorius</w:t>
            </w:r>
            <w:r w:rsidR="00B54B87">
              <w:rPr>
                <w:rFonts w:eastAsia="Times New Roman" w:cs="Times New Roman"/>
                <w:sz w:val="22"/>
                <w:lang w:eastAsia="lt-LT"/>
              </w:rPr>
              <w:t xml:space="preserve">. </w:t>
            </w:r>
            <w:r w:rsidR="00B54B87">
              <w:rPr>
                <w:rFonts w:eastAsia="Times New Roman" w:cs="Times New Roman"/>
                <w:sz w:val="22"/>
                <w:lang w:eastAsia="lt-LT"/>
              </w:rPr>
              <w:lastRenderedPageBreak/>
              <w:t xml:space="preserve">Savivaldybės administracinę priežiūrą atlieka Lietuvos Respublikos Vyriausybės atstovas. </w:t>
            </w:r>
          </w:p>
        </w:tc>
        <w:tc>
          <w:tcPr>
            <w:tcW w:w="2182" w:type="dxa"/>
          </w:tcPr>
          <w:p w14:paraId="6F983E09" w14:textId="77777777" w:rsidR="00011556" w:rsidRPr="002F79DE" w:rsidRDefault="00011556" w:rsidP="0001155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6F983E0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F983E0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F983E13" w14:textId="77777777" w:rsidTr="00C224F1">
        <w:trPr>
          <w:trHeight w:val="23"/>
        </w:trPr>
        <w:tc>
          <w:tcPr>
            <w:tcW w:w="588" w:type="dxa"/>
          </w:tcPr>
          <w:p w14:paraId="6F983E0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4.</w:t>
            </w:r>
          </w:p>
        </w:tc>
        <w:tc>
          <w:tcPr>
            <w:tcW w:w="2416" w:type="dxa"/>
          </w:tcPr>
          <w:p w14:paraId="6F983E0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751" w:type="dxa"/>
          </w:tcPr>
          <w:p w14:paraId="6F983E0F" w14:textId="77777777" w:rsidR="00011556" w:rsidRPr="002E39C0" w:rsidRDefault="0009587A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2E39C0">
              <w:rPr>
                <w:rFonts w:eastAsia="Times New Roman" w:cs="Times New Roman"/>
                <w:sz w:val="22"/>
                <w:lang w:eastAsia="lt-LT"/>
              </w:rPr>
              <w:t>Atitinka</w:t>
            </w:r>
          </w:p>
        </w:tc>
        <w:tc>
          <w:tcPr>
            <w:tcW w:w="2182" w:type="dxa"/>
          </w:tcPr>
          <w:p w14:paraId="6F983E1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F983E1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F983E1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F983E1A" w14:textId="77777777" w:rsidTr="00C224F1">
        <w:trPr>
          <w:trHeight w:val="23"/>
        </w:trPr>
        <w:tc>
          <w:tcPr>
            <w:tcW w:w="588" w:type="dxa"/>
          </w:tcPr>
          <w:p w14:paraId="6F983E1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</w:tcPr>
          <w:p w14:paraId="6F983E1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6F983E16" w14:textId="77777777" w:rsidR="00011556" w:rsidRPr="002E39C0" w:rsidRDefault="002E39C0" w:rsidP="002E39C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2E39C0">
              <w:rPr>
                <w:sz w:val="22"/>
              </w:rPr>
              <w:t>Nustatytas</w:t>
            </w:r>
            <w:r>
              <w:rPr>
                <w:sz w:val="22"/>
              </w:rPr>
              <w:t>. Aprašo 10, 23, 24, 25, 26 punktai</w:t>
            </w:r>
          </w:p>
        </w:tc>
        <w:tc>
          <w:tcPr>
            <w:tcW w:w="2182" w:type="dxa"/>
          </w:tcPr>
          <w:p w14:paraId="6F983E1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F983E1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F983E1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F983E21" w14:textId="77777777" w:rsidTr="00C224F1">
        <w:trPr>
          <w:trHeight w:val="23"/>
        </w:trPr>
        <w:tc>
          <w:tcPr>
            <w:tcW w:w="588" w:type="dxa"/>
          </w:tcPr>
          <w:p w14:paraId="6F983E1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6F983E1C" w14:textId="77777777" w:rsidR="00011556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Cs w:val="24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6F983E1D" w14:textId="77777777" w:rsidR="00011556" w:rsidRPr="002E39C0" w:rsidRDefault="002E39C0" w:rsidP="003C6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2E39C0">
              <w:rPr>
                <w:sz w:val="22"/>
              </w:rPr>
              <w:t>Nustatytas</w:t>
            </w:r>
            <w:r>
              <w:rPr>
                <w:sz w:val="22"/>
              </w:rPr>
              <w:t>. Aprašo 24, 25 punktai</w:t>
            </w:r>
          </w:p>
        </w:tc>
        <w:tc>
          <w:tcPr>
            <w:tcW w:w="2182" w:type="dxa"/>
          </w:tcPr>
          <w:p w14:paraId="6F983E1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F983E1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F983E2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F983E28" w14:textId="77777777" w:rsidTr="00C224F1">
        <w:trPr>
          <w:trHeight w:val="492"/>
        </w:trPr>
        <w:tc>
          <w:tcPr>
            <w:tcW w:w="588" w:type="dxa"/>
          </w:tcPr>
          <w:p w14:paraId="6F983E2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6F983E23" w14:textId="77777777" w:rsidR="00011556" w:rsidRPr="00011556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6F983E24" w14:textId="7DE90155" w:rsidR="00011556" w:rsidRPr="003D574F" w:rsidRDefault="002E39C0" w:rsidP="00634BA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Sprendimų priėmimo, įforminimo tvarka nustatyta Aprašo 5</w:t>
            </w:r>
            <w:r w:rsidR="00634BAF">
              <w:rPr>
                <w:sz w:val="22"/>
              </w:rPr>
              <w:t>7</w:t>
            </w:r>
            <w:r>
              <w:rPr>
                <w:sz w:val="22"/>
              </w:rPr>
              <w:t xml:space="preserve"> p. Komisijos sprendimų viešinimas negalimas dėl įstatymais nustatyto jautrios informacijos skelbimo (nepilnamečių vaikų asmens duomenys) ribojimo. Aprašo 58 p. nustatyta, kad i</w:t>
            </w:r>
            <w:r w:rsidRPr="00B34D74">
              <w:rPr>
                <w:sz w:val="22"/>
              </w:rPr>
              <w:t>nformacija apie laisvas vietas Rokiškio miesto Įstaigų grupėse skelbiama ir atnaujinama (pasikeitus situacijai) Savivaldybės internetinėje svetainėje.</w:t>
            </w:r>
          </w:p>
        </w:tc>
        <w:tc>
          <w:tcPr>
            <w:tcW w:w="2182" w:type="dxa"/>
          </w:tcPr>
          <w:p w14:paraId="6F983E2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F983E2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F983E2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F983E2F" w14:textId="77777777" w:rsidTr="00C224F1">
        <w:trPr>
          <w:trHeight w:val="23"/>
        </w:trPr>
        <w:tc>
          <w:tcPr>
            <w:tcW w:w="588" w:type="dxa"/>
          </w:tcPr>
          <w:p w14:paraId="6F983E2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6F983E2A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6F983E2B" w14:textId="77777777" w:rsidR="00011556" w:rsidRPr="00011556" w:rsidRDefault="002E39C0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>Tokia tvarka nenustatyta</w:t>
            </w:r>
          </w:p>
        </w:tc>
        <w:tc>
          <w:tcPr>
            <w:tcW w:w="2182" w:type="dxa"/>
          </w:tcPr>
          <w:p w14:paraId="6F983E2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F983E2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F983E2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F983E3C" w14:textId="77777777" w:rsidTr="00C224F1">
        <w:trPr>
          <w:trHeight w:val="23"/>
        </w:trPr>
        <w:tc>
          <w:tcPr>
            <w:tcW w:w="588" w:type="dxa"/>
          </w:tcPr>
          <w:p w14:paraId="6F983E3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6F983E3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Jeigu pagal numatomą reguliavimą sprendimus priima kolegialus subjektas, teisės akto projekte nustatyta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kolegialaus sprendimus priimančio subjekto:</w:t>
            </w:r>
          </w:p>
          <w:p w14:paraId="6F983E32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6F983E33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9.2. jeigu narius skiria keli subjektai, proporcinga kiekvieno subjekto skiriamų narių dalis, užtikrinanti tinkamą atstovavimą valstybės interesams ir kolegialaus sprendimus priimančio subjekto veiklos objektyvumą ir skaidrumą;</w:t>
            </w:r>
          </w:p>
          <w:p w14:paraId="6F983E3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6F983E3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6F983E3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6F983E3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6F983E38" w14:textId="77777777" w:rsidR="00011556" w:rsidRPr="002E39C0" w:rsidRDefault="002E39C0" w:rsidP="00892E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Style w:val="FontStyle21"/>
                <w:color w:val="000000" w:themeColor="text1"/>
                <w:szCs w:val="24"/>
              </w:rPr>
              <w:lastRenderedPageBreak/>
              <w:t>Tvarkos Aprašo 21 p. nustatyta, kad v</w:t>
            </w:r>
            <w:r w:rsidRPr="00873F01">
              <w:rPr>
                <w:rStyle w:val="FontStyle21"/>
                <w:color w:val="000000" w:themeColor="text1"/>
                <w:szCs w:val="24"/>
              </w:rPr>
              <w:t xml:space="preserve">aikų priėmimą naujiems mokslo metams į Rokiškio miesto Įstaigas vykdo </w:t>
            </w:r>
            <w:r w:rsidRPr="00953DCF">
              <w:rPr>
                <w:rStyle w:val="FontStyle21"/>
                <w:color w:val="000000" w:themeColor="text1"/>
                <w:szCs w:val="24"/>
              </w:rPr>
              <w:t xml:space="preserve">Vaikų </w:t>
            </w:r>
            <w:r w:rsidRPr="00953DCF">
              <w:rPr>
                <w:rStyle w:val="FontStyle21"/>
                <w:color w:val="000000" w:themeColor="text1"/>
                <w:szCs w:val="24"/>
              </w:rPr>
              <w:lastRenderedPageBreak/>
              <w:t xml:space="preserve">priėmimo ir grupių komplektavimo </w:t>
            </w:r>
            <w:r w:rsidRPr="00873F01">
              <w:rPr>
                <w:rStyle w:val="FontStyle21"/>
                <w:color w:val="000000" w:themeColor="text1"/>
                <w:szCs w:val="24"/>
              </w:rPr>
              <w:t>komisija, kurios sudėtį tvirtina Savivaldybės administracijos direktorius</w:t>
            </w:r>
            <w:r>
              <w:rPr>
                <w:rStyle w:val="FontStyle21"/>
                <w:color w:val="000000" w:themeColor="text1"/>
                <w:szCs w:val="24"/>
              </w:rPr>
              <w:t xml:space="preserve">. </w:t>
            </w:r>
            <w:r>
              <w:rPr>
                <w:sz w:val="22"/>
              </w:rPr>
              <w:t>Komisijos sudarymo kriterijai nėra nustatyti.</w:t>
            </w:r>
          </w:p>
        </w:tc>
        <w:tc>
          <w:tcPr>
            <w:tcW w:w="2182" w:type="dxa"/>
          </w:tcPr>
          <w:p w14:paraId="6F983E3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F983E3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F983E3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F983E43" w14:textId="77777777" w:rsidTr="00C224F1">
        <w:trPr>
          <w:trHeight w:val="23"/>
        </w:trPr>
        <w:tc>
          <w:tcPr>
            <w:tcW w:w="588" w:type="dxa"/>
          </w:tcPr>
          <w:p w14:paraId="6F983E3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10.</w:t>
            </w:r>
          </w:p>
        </w:tc>
        <w:tc>
          <w:tcPr>
            <w:tcW w:w="2416" w:type="dxa"/>
          </w:tcPr>
          <w:p w14:paraId="6F983E3E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6F983E3F" w14:textId="77777777" w:rsidR="00011556" w:rsidRPr="00892ECD" w:rsidRDefault="00892ECD" w:rsidP="00E317C7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sz w:val="22"/>
                <w:lang w:eastAsia="lt-LT"/>
              </w:rPr>
              <w:t>Visos procedūros numatytos</w:t>
            </w:r>
          </w:p>
        </w:tc>
        <w:tc>
          <w:tcPr>
            <w:tcW w:w="2182" w:type="dxa"/>
          </w:tcPr>
          <w:p w14:paraId="6F983E4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F983E4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F983E4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F983E4A" w14:textId="77777777" w:rsidTr="00C224F1">
        <w:trPr>
          <w:trHeight w:val="23"/>
        </w:trPr>
        <w:tc>
          <w:tcPr>
            <w:tcW w:w="588" w:type="dxa"/>
          </w:tcPr>
          <w:p w14:paraId="6F983E44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6F983E45" w14:textId="77777777" w:rsidR="00011556" w:rsidRPr="00C224F1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6F983E46" w14:textId="77777777" w:rsidR="00011556" w:rsidRPr="00892ECD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lt-LT"/>
              </w:rPr>
            </w:pPr>
            <w:r w:rsidRPr="00892ECD">
              <w:rPr>
                <w:rFonts w:eastAsia="Times New Roman" w:cs="Times New Roman"/>
                <w:i/>
                <w:szCs w:val="24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6F983E47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F983E48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F983E49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F983E51" w14:textId="77777777" w:rsidTr="00C224F1">
        <w:trPr>
          <w:trHeight w:val="23"/>
        </w:trPr>
        <w:tc>
          <w:tcPr>
            <w:tcW w:w="588" w:type="dxa"/>
          </w:tcPr>
          <w:p w14:paraId="6F983E4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6F983E4C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6F983E4D" w14:textId="6FE42878" w:rsidR="00011556" w:rsidRPr="002E39C0" w:rsidRDefault="0099391C" w:rsidP="00634BA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Terminai nustatyti Aprašo 9, 14, 23, 27, 28, 34, 42.3, 5</w:t>
            </w:r>
            <w:r w:rsidR="00634BAF">
              <w:rPr>
                <w:sz w:val="22"/>
              </w:rPr>
              <w:t>6</w:t>
            </w:r>
            <w:r>
              <w:rPr>
                <w:sz w:val="22"/>
              </w:rPr>
              <w:t>, 5</w:t>
            </w:r>
            <w:r w:rsidR="00634BAF">
              <w:rPr>
                <w:sz w:val="22"/>
              </w:rPr>
              <w:t>8</w:t>
            </w:r>
            <w:r>
              <w:rPr>
                <w:sz w:val="22"/>
              </w:rPr>
              <w:t xml:space="preserve"> punktuose</w:t>
            </w:r>
          </w:p>
        </w:tc>
        <w:tc>
          <w:tcPr>
            <w:tcW w:w="2182" w:type="dxa"/>
          </w:tcPr>
          <w:p w14:paraId="6F983E4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F983E4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F983E5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F983E58" w14:textId="77777777" w:rsidTr="00C224F1">
        <w:trPr>
          <w:trHeight w:val="23"/>
        </w:trPr>
        <w:tc>
          <w:tcPr>
            <w:tcW w:w="588" w:type="dxa"/>
          </w:tcPr>
          <w:p w14:paraId="6F983E5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6F983E5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6F983E54" w14:textId="77777777" w:rsidR="00011556" w:rsidRPr="00EC0872" w:rsidRDefault="0099391C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Nustato</w:t>
            </w:r>
          </w:p>
        </w:tc>
        <w:tc>
          <w:tcPr>
            <w:tcW w:w="2182" w:type="dxa"/>
          </w:tcPr>
          <w:p w14:paraId="6F983E5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F983E5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F983E5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6F983E5F" w14:textId="77777777" w:rsidTr="00C224F1">
        <w:trPr>
          <w:trHeight w:val="23"/>
        </w:trPr>
        <w:tc>
          <w:tcPr>
            <w:tcW w:w="588" w:type="dxa"/>
          </w:tcPr>
          <w:p w14:paraId="6F983E59" w14:textId="77777777" w:rsidR="00C224F1" w:rsidRPr="00011556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6F983E5A" w14:textId="77777777" w:rsidR="00C224F1" w:rsidRPr="00C224F1" w:rsidRDefault="00C224F1" w:rsidP="0027109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 xml:space="preserve">Teisės akto projektas </w:t>
            </w:r>
            <w:r w:rsidRPr="00C224F1">
              <w:rPr>
                <w:sz w:val="22"/>
                <w:lang w:eastAsia="lt-LT"/>
              </w:rPr>
              <w:lastRenderedPageBreak/>
              <w:t>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6F983E5B" w14:textId="77777777" w:rsidR="00C224F1" w:rsidRPr="00EC0872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2F79DE">
              <w:rPr>
                <w:szCs w:val="24"/>
              </w:rPr>
              <w:lastRenderedPageBreak/>
              <w:t xml:space="preserve">Nenustato. Kontrolę </w:t>
            </w:r>
            <w:r w:rsidRPr="002F79DE">
              <w:rPr>
                <w:szCs w:val="24"/>
              </w:rPr>
              <w:lastRenderedPageBreak/>
              <w:t>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6F983E5C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F983E5D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F983E5E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□ netenkina</w:t>
            </w:r>
          </w:p>
        </w:tc>
      </w:tr>
      <w:tr w:rsidR="00011556" w:rsidRPr="00011556" w14:paraId="6F983E66" w14:textId="77777777" w:rsidTr="00C224F1">
        <w:trPr>
          <w:trHeight w:val="23"/>
        </w:trPr>
        <w:tc>
          <w:tcPr>
            <w:tcW w:w="588" w:type="dxa"/>
          </w:tcPr>
          <w:p w14:paraId="6F983E6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15.</w:t>
            </w:r>
          </w:p>
        </w:tc>
        <w:tc>
          <w:tcPr>
            <w:tcW w:w="2416" w:type="dxa"/>
          </w:tcPr>
          <w:p w14:paraId="6F983E61" w14:textId="77777777" w:rsidR="00011556" w:rsidRPr="00C224F1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ir objektyvumo užtikrinimo priemonės </w:t>
            </w:r>
          </w:p>
        </w:tc>
        <w:tc>
          <w:tcPr>
            <w:tcW w:w="2751" w:type="dxa"/>
          </w:tcPr>
          <w:p w14:paraId="6F983E62" w14:textId="77777777" w:rsidR="00011556" w:rsidRPr="002F79DE" w:rsidRDefault="00892ECD" w:rsidP="00B54B8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2F79DE">
              <w:rPr>
                <w:szCs w:val="24"/>
              </w:rPr>
              <w:t>Kontrolės (priežiūros) skaidrumo ir objektyvumo užtikrinimo priemonės nenustatytos.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6F983E6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F983E6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F983E6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F983E6D" w14:textId="77777777" w:rsidTr="00C224F1">
        <w:trPr>
          <w:trHeight w:val="23"/>
        </w:trPr>
        <w:tc>
          <w:tcPr>
            <w:tcW w:w="588" w:type="dxa"/>
          </w:tcPr>
          <w:p w14:paraId="6F983E6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16.</w:t>
            </w:r>
          </w:p>
        </w:tc>
        <w:tc>
          <w:tcPr>
            <w:tcW w:w="2416" w:type="dxa"/>
          </w:tcPr>
          <w:p w14:paraId="6F983E68" w14:textId="77777777" w:rsidR="00C224F1" w:rsidRPr="00011556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Cs w:val="24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6F983E69" w14:textId="77777777" w:rsidR="00011556" w:rsidRPr="002F79DE" w:rsidRDefault="00B54B87" w:rsidP="003D574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Nustatyta aukštesnių valdžios institucijų teisės aktuos</w:t>
            </w:r>
          </w:p>
        </w:tc>
        <w:tc>
          <w:tcPr>
            <w:tcW w:w="2182" w:type="dxa"/>
          </w:tcPr>
          <w:p w14:paraId="6F983E6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F983E6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F983E6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F983E74" w14:textId="77777777" w:rsidTr="00C224F1">
        <w:trPr>
          <w:trHeight w:val="23"/>
        </w:trPr>
        <w:tc>
          <w:tcPr>
            <w:tcW w:w="588" w:type="dxa"/>
          </w:tcPr>
          <w:p w14:paraId="6F983E6E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6F983E6F" w14:textId="77777777" w:rsidR="00011556" w:rsidRPr="0084234F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6F983E70" w14:textId="77777777" w:rsidR="00011556" w:rsidRPr="0099391C" w:rsidRDefault="0099391C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Nenustatyta</w:t>
            </w:r>
          </w:p>
        </w:tc>
        <w:tc>
          <w:tcPr>
            <w:tcW w:w="2182" w:type="dxa"/>
          </w:tcPr>
          <w:p w14:paraId="6F983E71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F983E72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F983E73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F983E7B" w14:textId="77777777" w:rsidTr="00C224F1">
        <w:trPr>
          <w:trHeight w:val="23"/>
        </w:trPr>
        <w:tc>
          <w:tcPr>
            <w:tcW w:w="588" w:type="dxa"/>
          </w:tcPr>
          <w:p w14:paraId="6F983E7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6F983E76" w14:textId="77777777" w:rsidR="00011556" w:rsidRPr="0084234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6F983E77" w14:textId="77777777" w:rsidR="00011556" w:rsidRPr="003D574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lt-LT"/>
              </w:rPr>
            </w:pPr>
            <w:r>
              <w:rPr>
                <w:rFonts w:eastAsia="Times New Roman" w:cs="Times New Roman"/>
                <w:i/>
                <w:szCs w:val="24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6F983E7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F983E7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F983E7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F983E82" w14:textId="77777777" w:rsidTr="00C224F1">
        <w:trPr>
          <w:trHeight w:val="23"/>
        </w:trPr>
        <w:tc>
          <w:tcPr>
            <w:tcW w:w="588" w:type="dxa"/>
          </w:tcPr>
          <w:p w14:paraId="6F983E7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6F983E7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6F983E7E" w14:textId="77777777" w:rsidR="00011556" w:rsidRPr="00892ECD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6F983E7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F983E8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F983E8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6F983E83" w14:textId="77777777" w:rsidR="00011556" w:rsidRP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617"/>
        <w:gridCol w:w="3899"/>
        <w:gridCol w:w="1663"/>
        <w:gridCol w:w="2567"/>
      </w:tblGrid>
      <w:tr w:rsidR="00011556" w:rsidRPr="00011556" w14:paraId="6F983E8D" w14:textId="77777777" w:rsidTr="00D0108A">
        <w:trPr>
          <w:trHeight w:val="23"/>
        </w:trPr>
        <w:tc>
          <w:tcPr>
            <w:tcW w:w="2457" w:type="dxa"/>
          </w:tcPr>
          <w:p w14:paraId="6F983E8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6F983E8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6F983E86" w14:textId="77777777" w:rsidR="00011556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6F983E88" w14:textId="00AF963F" w:rsidR="00B54B87" w:rsidRPr="00F62C6D" w:rsidRDefault="00634BAF" w:rsidP="00560152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lt-LT"/>
              </w:rPr>
            </w:pPr>
            <w:r w:rsidRPr="00AF2809">
              <w:rPr>
                <w:szCs w:val="24"/>
              </w:rPr>
              <w:t>Švietimo ir sporto skyriaus vyriausioji specialistė Audronė Rekertienė</w:t>
            </w:r>
          </w:p>
        </w:tc>
        <w:tc>
          <w:tcPr>
            <w:tcW w:w="2434" w:type="dxa"/>
          </w:tcPr>
          <w:p w14:paraId="6F983E8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6F983E8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6F983E8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6F983E8C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6F983E92" w14:textId="77777777" w:rsidTr="00D0108A">
        <w:trPr>
          <w:trHeight w:val="23"/>
        </w:trPr>
        <w:tc>
          <w:tcPr>
            <w:tcW w:w="2457" w:type="dxa"/>
          </w:tcPr>
          <w:p w14:paraId="6F983E8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6F983E8F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6F983E9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6F983E91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6F983E9A" w14:textId="77777777" w:rsidTr="00D0108A">
        <w:trPr>
          <w:trHeight w:val="23"/>
        </w:trPr>
        <w:tc>
          <w:tcPr>
            <w:tcW w:w="2457" w:type="dxa"/>
          </w:tcPr>
          <w:p w14:paraId="6F983E9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6F983E9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6F983E95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6F983E96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6F983E9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6F983E98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6F983E99" w14:textId="1BDDE296" w:rsidR="00011556" w:rsidRPr="00011556" w:rsidRDefault="00011556" w:rsidP="00892ECD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</w:t>
            </w:r>
            <w:r w:rsidR="00634BAF">
              <w:rPr>
                <w:rFonts w:eastAsia="Times New Roman" w:cs="Times New Roman"/>
                <w:sz w:val="22"/>
                <w:lang w:eastAsia="lt-LT"/>
              </w:rPr>
              <w:t>2023-04-18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   </w:t>
            </w:r>
          </w:p>
        </w:tc>
      </w:tr>
      <w:tr w:rsidR="00011556" w:rsidRPr="00011556" w14:paraId="6F983E9F" w14:textId="77777777" w:rsidTr="00D0108A">
        <w:trPr>
          <w:trHeight w:val="23"/>
        </w:trPr>
        <w:tc>
          <w:tcPr>
            <w:tcW w:w="2457" w:type="dxa"/>
          </w:tcPr>
          <w:p w14:paraId="6F983E9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6F983E9C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6F983E9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6F983E9E" w14:textId="77777777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6F983EA0" w14:textId="77777777" w:rsidR="00AC37BC" w:rsidRDefault="00AC37BC" w:rsidP="0084234F">
      <w:pPr>
        <w:jc w:val="center"/>
      </w:pPr>
    </w:p>
    <w:sectPr w:rsidR="00AC37BC" w:rsidSect="00CB6C5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4520F" w14:textId="77777777" w:rsidR="00437CEB" w:rsidRDefault="00437CEB" w:rsidP="00011556">
      <w:pPr>
        <w:spacing w:after="0" w:line="240" w:lineRule="auto"/>
      </w:pPr>
      <w:r>
        <w:separator/>
      </w:r>
    </w:p>
  </w:endnote>
  <w:endnote w:type="continuationSeparator" w:id="0">
    <w:p w14:paraId="71A3A4DF" w14:textId="77777777" w:rsidR="00437CEB" w:rsidRDefault="00437CEB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2FA73" w14:textId="77777777" w:rsidR="00437CEB" w:rsidRDefault="00437CEB" w:rsidP="00011556">
      <w:pPr>
        <w:spacing w:after="0" w:line="240" w:lineRule="auto"/>
      </w:pPr>
      <w:r>
        <w:separator/>
      </w:r>
    </w:p>
  </w:footnote>
  <w:footnote w:type="continuationSeparator" w:id="0">
    <w:p w14:paraId="2B67FE3F" w14:textId="77777777" w:rsidR="00437CEB" w:rsidRDefault="00437CEB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56"/>
    <w:rsid w:val="00011556"/>
    <w:rsid w:val="0001730B"/>
    <w:rsid w:val="000418F6"/>
    <w:rsid w:val="0009587A"/>
    <w:rsid w:val="00186256"/>
    <w:rsid w:val="00197535"/>
    <w:rsid w:val="001C1E81"/>
    <w:rsid w:val="001C4716"/>
    <w:rsid w:val="001C5323"/>
    <w:rsid w:val="002714FD"/>
    <w:rsid w:val="002932A0"/>
    <w:rsid w:val="002E39C0"/>
    <w:rsid w:val="002F4397"/>
    <w:rsid w:val="002F793F"/>
    <w:rsid w:val="002F79DE"/>
    <w:rsid w:val="0038177D"/>
    <w:rsid w:val="00394843"/>
    <w:rsid w:val="003C6AA1"/>
    <w:rsid w:val="003D574F"/>
    <w:rsid w:val="00437CEB"/>
    <w:rsid w:val="00450999"/>
    <w:rsid w:val="00481571"/>
    <w:rsid w:val="00487FAB"/>
    <w:rsid w:val="00560152"/>
    <w:rsid w:val="005679C9"/>
    <w:rsid w:val="0061657D"/>
    <w:rsid w:val="00634BAF"/>
    <w:rsid w:val="0069605C"/>
    <w:rsid w:val="006A34B2"/>
    <w:rsid w:val="006C2EA8"/>
    <w:rsid w:val="006D79E2"/>
    <w:rsid w:val="006E3F92"/>
    <w:rsid w:val="00707F30"/>
    <w:rsid w:val="0076243D"/>
    <w:rsid w:val="00777FAE"/>
    <w:rsid w:val="008103F7"/>
    <w:rsid w:val="00837038"/>
    <w:rsid w:val="0084234F"/>
    <w:rsid w:val="008830CE"/>
    <w:rsid w:val="00892ECD"/>
    <w:rsid w:val="00897691"/>
    <w:rsid w:val="008C4141"/>
    <w:rsid w:val="00977F7D"/>
    <w:rsid w:val="0099391C"/>
    <w:rsid w:val="009A2C77"/>
    <w:rsid w:val="009E4910"/>
    <w:rsid w:val="00AA37CC"/>
    <w:rsid w:val="00AC37BC"/>
    <w:rsid w:val="00AE03A3"/>
    <w:rsid w:val="00B05163"/>
    <w:rsid w:val="00B10B52"/>
    <w:rsid w:val="00B221AC"/>
    <w:rsid w:val="00B54B87"/>
    <w:rsid w:val="00B923A4"/>
    <w:rsid w:val="00BD0324"/>
    <w:rsid w:val="00BF4852"/>
    <w:rsid w:val="00C224F1"/>
    <w:rsid w:val="00C43F54"/>
    <w:rsid w:val="00C52EE5"/>
    <w:rsid w:val="00CB6C5D"/>
    <w:rsid w:val="00CD46E3"/>
    <w:rsid w:val="00CF576B"/>
    <w:rsid w:val="00D43BF1"/>
    <w:rsid w:val="00D52440"/>
    <w:rsid w:val="00D716D6"/>
    <w:rsid w:val="00D91038"/>
    <w:rsid w:val="00D9125A"/>
    <w:rsid w:val="00E27549"/>
    <w:rsid w:val="00E317C7"/>
    <w:rsid w:val="00E35CCA"/>
    <w:rsid w:val="00EC0872"/>
    <w:rsid w:val="00ED41F7"/>
    <w:rsid w:val="00ED669A"/>
    <w:rsid w:val="00F27EDA"/>
    <w:rsid w:val="00F62C6D"/>
    <w:rsid w:val="00F725DD"/>
    <w:rsid w:val="00F852CE"/>
    <w:rsid w:val="00FB1C0D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3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4310</Words>
  <Characters>2457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Rasa Virbalienė</cp:lastModifiedBy>
  <cp:revision>3</cp:revision>
  <dcterms:created xsi:type="dcterms:W3CDTF">2023-04-19T11:37:00Z</dcterms:created>
  <dcterms:modified xsi:type="dcterms:W3CDTF">2023-04-19T11:37:00Z</dcterms:modified>
</cp:coreProperties>
</file>